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6606"/>
      </w:tblGrid>
      <w:tr w:rsidR="00AB6152" w14:paraId="7A674DB2" w14:textId="77777777" w:rsidTr="00DF1725">
        <w:tc>
          <w:tcPr>
            <w:tcW w:w="3033" w:type="dxa"/>
          </w:tcPr>
          <w:bookmarkStart w:id="0" w:name="_GoBack"/>
          <w:bookmarkEnd w:id="0"/>
          <w:p w14:paraId="66A3DBB0" w14:textId="77777777" w:rsidR="00AB6152" w:rsidRDefault="00CE0510">
            <w:pPr>
              <w:pStyle w:val="Vnbnnidung0"/>
              <w:spacing w:after="0" w:line="259" w:lineRule="auto"/>
              <w:ind w:firstLine="0"/>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3E7AA877" wp14:editId="029DA3E4">
                      <wp:simplePos x="0" y="0"/>
                      <wp:positionH relativeFrom="column">
                        <wp:posOffset>606425</wp:posOffset>
                      </wp:positionH>
                      <wp:positionV relativeFrom="paragraph">
                        <wp:posOffset>419999</wp:posOffset>
                      </wp:positionV>
                      <wp:extent cx="603849" cy="0"/>
                      <wp:effectExtent l="0" t="0" r="25400" b="19050"/>
                      <wp:wrapNone/>
                      <wp:docPr id="8" name="Straight Connector 8"/>
                      <wp:cNvGraphicFramePr/>
                      <a:graphic xmlns:a="http://schemas.openxmlformats.org/drawingml/2006/main">
                        <a:graphicData uri="http://schemas.microsoft.com/office/word/2010/wordprocessingShape">
                          <wps:wsp>
                            <wps:cNvCnPr/>
                            <wps:spPr>
                              <a:xfrm flipV="1">
                                <a:off x="0" y="0"/>
                                <a:ext cx="6038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33.05pt" to="95.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" strokecolor="black [3200]" strokeweight=".5pt">
                      <v:stroke joinstyle="miter"/>
                    </v:line>
                  </w:pict>
                </mc:Fallback>
              </mc:AlternateContent>
            </w:r>
            <w:r>
              <w:rPr>
                <w:b/>
                <w:bCs/>
                <w:sz w:val="26"/>
                <w:szCs w:val="26"/>
              </w:rPr>
              <w:t>HỘI ĐỒNG NHÂN DÂN TỈNH PHÚ THỌ</w:t>
            </w:r>
          </w:p>
        </w:tc>
        <w:tc>
          <w:tcPr>
            <w:tcW w:w="6606" w:type="dxa"/>
          </w:tcPr>
          <w:p w14:paraId="372FD3F1" w14:textId="77777777" w:rsidR="00AB6152" w:rsidRDefault="00CE0510">
            <w:pPr>
              <w:pStyle w:val="Vnbnnidung0"/>
              <w:spacing w:after="0" w:line="259" w:lineRule="auto"/>
              <w:ind w:firstLine="0"/>
              <w:jc w:val="center"/>
              <w:rPr>
                <w:b/>
                <w:bCs/>
                <w:sz w:val="26"/>
                <w:szCs w:val="26"/>
              </w:rPr>
            </w:pPr>
            <w:r>
              <w:rPr>
                <w:b/>
                <w:bCs/>
                <w:sz w:val="26"/>
                <w:szCs w:val="26"/>
              </w:rPr>
              <w:t>CỘNG HÒA XÃ HỘI CHỦ NGHĨA VIỆT NAM</w:t>
            </w:r>
          </w:p>
          <w:p w14:paraId="40E298B2" w14:textId="77777777" w:rsidR="00AB6152" w:rsidRDefault="00CE0510">
            <w:pPr>
              <w:pStyle w:val="Vnbnnidung0"/>
              <w:spacing w:after="0" w:line="259" w:lineRule="auto"/>
              <w:ind w:firstLine="0"/>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74A52051" wp14:editId="1E4A2276">
                      <wp:simplePos x="0" y="0"/>
                      <wp:positionH relativeFrom="column">
                        <wp:posOffset>1095044</wp:posOffset>
                      </wp:positionH>
                      <wp:positionV relativeFrom="paragraph">
                        <wp:posOffset>207010</wp:posOffset>
                      </wp:positionV>
                      <wp:extent cx="1897811"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78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E9C3FB"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pt,16.3pt" to="235.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" strokecolor="black [3200]" strokeweight=".5pt">
                      <v:stroke joinstyle="miter"/>
                    </v:line>
                  </w:pict>
                </mc:Fallback>
              </mc:AlternateContent>
            </w:r>
            <w:r>
              <w:rPr>
                <w:b/>
                <w:bCs/>
                <w:sz w:val="26"/>
                <w:szCs w:val="26"/>
              </w:rPr>
              <w:t>Độc lập- Tự do- Hạnh phúc</w:t>
            </w:r>
          </w:p>
          <w:p w14:paraId="5008BDD4" w14:textId="77777777" w:rsidR="00AB6152" w:rsidRDefault="00AB6152">
            <w:pPr>
              <w:pStyle w:val="Vnbnnidung0"/>
              <w:spacing w:after="0" w:line="259" w:lineRule="auto"/>
              <w:ind w:firstLine="0"/>
              <w:jc w:val="center"/>
              <w:rPr>
                <w:b/>
                <w:bCs/>
                <w:sz w:val="26"/>
                <w:szCs w:val="26"/>
              </w:rPr>
            </w:pPr>
          </w:p>
        </w:tc>
      </w:tr>
      <w:tr w:rsidR="00AB6152" w14:paraId="69162AB1" w14:textId="77777777" w:rsidTr="00DF1725">
        <w:tc>
          <w:tcPr>
            <w:tcW w:w="3033" w:type="dxa"/>
          </w:tcPr>
          <w:p w14:paraId="681CA424" w14:textId="0B7A9FC7" w:rsidR="00AB6152" w:rsidRDefault="00CE0510">
            <w:pPr>
              <w:pStyle w:val="Vnbnnidung0"/>
              <w:spacing w:after="0" w:line="259" w:lineRule="auto"/>
              <w:ind w:firstLine="0"/>
              <w:jc w:val="center"/>
              <w:rPr>
                <w:bCs/>
                <w:sz w:val="26"/>
                <w:szCs w:val="26"/>
              </w:rPr>
            </w:pPr>
            <w:r>
              <w:rPr>
                <w:bCs/>
                <w:sz w:val="26"/>
                <w:szCs w:val="26"/>
              </w:rPr>
              <w:t xml:space="preserve">Số: </w:t>
            </w:r>
            <w:r w:rsidR="003B7B5C">
              <w:rPr>
                <w:bCs/>
                <w:sz w:val="26"/>
                <w:szCs w:val="26"/>
              </w:rPr>
              <w:t>60</w:t>
            </w:r>
            <w:r>
              <w:rPr>
                <w:bCs/>
                <w:sz w:val="26"/>
                <w:szCs w:val="26"/>
              </w:rPr>
              <w:t>/NQ-HĐND</w:t>
            </w:r>
          </w:p>
        </w:tc>
        <w:tc>
          <w:tcPr>
            <w:tcW w:w="6606" w:type="dxa"/>
          </w:tcPr>
          <w:p w14:paraId="2DD1EA4C" w14:textId="7B34EB3D" w:rsidR="00AB6152" w:rsidRDefault="00CE0510">
            <w:pPr>
              <w:pStyle w:val="Vnbnnidung0"/>
              <w:spacing w:after="0" w:line="259" w:lineRule="auto"/>
              <w:ind w:firstLine="0"/>
              <w:jc w:val="center"/>
              <w:rPr>
                <w:bCs/>
                <w:i/>
                <w:sz w:val="26"/>
                <w:szCs w:val="26"/>
              </w:rPr>
            </w:pPr>
            <w:r>
              <w:rPr>
                <w:bCs/>
                <w:i/>
                <w:sz w:val="26"/>
                <w:szCs w:val="26"/>
              </w:rPr>
              <w:t>Phú Thọ, ngày</w:t>
            </w:r>
            <w:r w:rsidR="003B7B5C">
              <w:rPr>
                <w:bCs/>
                <w:i/>
                <w:sz w:val="26"/>
                <w:szCs w:val="26"/>
              </w:rPr>
              <w:t xml:space="preserve"> 10</w:t>
            </w:r>
            <w:r>
              <w:rPr>
                <w:bCs/>
                <w:i/>
                <w:sz w:val="26"/>
                <w:szCs w:val="26"/>
              </w:rPr>
              <w:t xml:space="preserve"> tháng 12</w:t>
            </w:r>
            <w:r w:rsidR="00DF1725">
              <w:rPr>
                <w:bCs/>
                <w:i/>
                <w:sz w:val="26"/>
                <w:szCs w:val="26"/>
              </w:rPr>
              <w:t xml:space="preserve"> </w:t>
            </w:r>
            <w:r>
              <w:rPr>
                <w:bCs/>
                <w:i/>
                <w:sz w:val="26"/>
                <w:szCs w:val="26"/>
              </w:rPr>
              <w:t>năm 2025</w:t>
            </w:r>
          </w:p>
        </w:tc>
      </w:tr>
    </w:tbl>
    <w:p w14:paraId="1270B447" w14:textId="77777777" w:rsidR="00AB6152" w:rsidRDefault="00AB6152">
      <w:pPr>
        <w:pStyle w:val="Vnbnnidung0"/>
        <w:spacing w:after="0" w:line="259" w:lineRule="auto"/>
        <w:ind w:firstLine="0"/>
        <w:jc w:val="center"/>
        <w:rPr>
          <w:b/>
          <w:bCs/>
          <w:sz w:val="26"/>
          <w:szCs w:val="26"/>
        </w:rPr>
      </w:pPr>
    </w:p>
    <w:p w14:paraId="08C0B175" w14:textId="77777777" w:rsidR="00AB6152" w:rsidRDefault="00CE0510">
      <w:pPr>
        <w:pStyle w:val="Vnbnnidung0"/>
        <w:spacing w:after="0" w:line="259" w:lineRule="auto"/>
        <w:ind w:firstLine="0"/>
        <w:jc w:val="center"/>
        <w:rPr>
          <w:b/>
          <w:bCs/>
        </w:rPr>
      </w:pPr>
      <w:r>
        <w:rPr>
          <w:b/>
          <w:bCs/>
        </w:rPr>
        <w:t>NGHỊ QUYẾT</w:t>
      </w:r>
    </w:p>
    <w:p w14:paraId="636488AE" w14:textId="77777777" w:rsidR="00AB6152" w:rsidRDefault="00CE0510">
      <w:pPr>
        <w:pStyle w:val="Vnbnnidung0"/>
        <w:spacing w:after="0" w:line="259" w:lineRule="auto"/>
        <w:ind w:firstLine="0"/>
        <w:jc w:val="center"/>
        <w:rPr>
          <w:b/>
          <w:bCs/>
        </w:rPr>
      </w:pPr>
      <w:r>
        <w:rPr>
          <w:b/>
        </w:rPr>
        <w:t>Ban hành Danh mục các khu đất thực hiện đấu thầu lựa chọn nhà đầu tư thực hiện dự án đầu tư có sử dụng đất trên địa bàn tỉnh Phú Thọ</w:t>
      </w:r>
    </w:p>
    <w:p w14:paraId="22DC5760" w14:textId="77777777" w:rsidR="00AB6152" w:rsidRDefault="00CE0510">
      <w:pPr>
        <w:pStyle w:val="Vnbnnidung0"/>
        <w:spacing w:after="0" w:line="259" w:lineRule="auto"/>
        <w:ind w:firstLine="0"/>
        <w:jc w:val="center"/>
        <w:rPr>
          <w:b/>
          <w:bCs/>
        </w:rPr>
      </w:pPr>
      <w:r>
        <w:rPr>
          <w:b/>
          <w:bCs/>
          <w:noProof/>
        </w:rPr>
        <mc:AlternateContent>
          <mc:Choice Requires="wps">
            <w:drawing>
              <wp:anchor distT="0" distB="0" distL="114300" distR="114300" simplePos="0" relativeHeight="251661312" behindDoc="0" locked="0" layoutInCell="1" allowOverlap="1" wp14:anchorId="09CDC20D" wp14:editId="359A1C4E">
                <wp:simplePos x="0" y="0"/>
                <wp:positionH relativeFrom="column">
                  <wp:posOffset>2118995</wp:posOffset>
                </wp:positionH>
                <wp:positionV relativeFrom="paragraph">
                  <wp:posOffset>85461</wp:posOffset>
                </wp:positionV>
                <wp:extent cx="1457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57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6.85pt,6.75pt" to="281.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" strokecolor="black [3213]" strokeweight=".5pt">
                <v:stroke joinstyle="miter"/>
              </v:line>
            </w:pict>
          </mc:Fallback>
        </mc:AlternateContent>
      </w:r>
    </w:p>
    <w:p w14:paraId="7A10C162" w14:textId="77777777" w:rsidR="00AB6152" w:rsidRDefault="00AB6152">
      <w:pPr>
        <w:pStyle w:val="Vnbnnidung0"/>
        <w:spacing w:after="0" w:line="259" w:lineRule="auto"/>
        <w:ind w:firstLine="0"/>
        <w:jc w:val="center"/>
        <w:rPr>
          <w:b/>
          <w:bCs/>
        </w:rPr>
      </w:pPr>
    </w:p>
    <w:p w14:paraId="6FD7BFB0" w14:textId="77777777" w:rsidR="00AB6152" w:rsidRPr="000A2B55" w:rsidRDefault="00CE0510">
      <w:pPr>
        <w:pStyle w:val="Vnbnnidung0"/>
        <w:spacing w:after="0" w:line="259" w:lineRule="auto"/>
        <w:ind w:firstLine="0"/>
        <w:jc w:val="center"/>
      </w:pPr>
      <w:r w:rsidRPr="000A2B55">
        <w:rPr>
          <w:b/>
          <w:bCs/>
        </w:rPr>
        <w:t>HỘI ĐỒNG NHÂN DÂN TỈNH PHÚ THỌ</w:t>
      </w:r>
    </w:p>
    <w:p w14:paraId="42E1C324" w14:textId="77777777" w:rsidR="00AB6152" w:rsidRPr="000A2B55" w:rsidRDefault="00CE0510">
      <w:pPr>
        <w:pStyle w:val="Vnbnnidung0"/>
        <w:spacing w:after="260" w:line="259" w:lineRule="auto"/>
        <w:ind w:firstLine="0"/>
        <w:jc w:val="center"/>
      </w:pPr>
      <w:r w:rsidRPr="000A2B55">
        <w:rPr>
          <w:b/>
          <w:bCs/>
        </w:rPr>
        <w:t xml:space="preserve">KHÓA XIX, KỲ HỌP </w:t>
      </w:r>
      <w:r w:rsidR="00B57CC1" w:rsidRPr="000A2B55">
        <w:rPr>
          <w:b/>
          <w:color w:val="000000"/>
        </w:rPr>
        <w:t xml:space="preserve">THƯỜNG LỆ </w:t>
      </w:r>
      <w:r w:rsidRPr="000A2B55">
        <w:rPr>
          <w:b/>
          <w:bCs/>
        </w:rPr>
        <w:t>THỨ HAI</w:t>
      </w:r>
    </w:p>
    <w:p w14:paraId="6A080DD3" w14:textId="77777777" w:rsidR="00AB6152" w:rsidRDefault="00AB6152">
      <w:pPr>
        <w:pStyle w:val="Vnbnnidung0"/>
        <w:tabs>
          <w:tab w:val="left" w:leader="dot" w:pos="3048"/>
        </w:tabs>
        <w:ind w:firstLine="720"/>
        <w:jc w:val="both"/>
        <w:rPr>
          <w:i/>
          <w:iCs/>
        </w:rPr>
      </w:pPr>
    </w:p>
    <w:p w14:paraId="52073802" w14:textId="77777777" w:rsidR="00AB6152" w:rsidRDefault="00CE0510">
      <w:pPr>
        <w:pStyle w:val="Vnbnnidung0"/>
        <w:tabs>
          <w:tab w:val="left" w:leader="dot" w:pos="3048"/>
        </w:tabs>
        <w:spacing w:before="60" w:after="60" w:line="288" w:lineRule="auto"/>
        <w:ind w:firstLine="720"/>
        <w:jc w:val="both"/>
        <w:rPr>
          <w:i/>
          <w:iCs/>
        </w:rPr>
      </w:pPr>
      <w:r>
        <w:rPr>
          <w:i/>
          <w:iCs/>
        </w:rPr>
        <w:t>Căn cứ Luật Tổ chức chính quyền địa phương ngày 16 tháng 6 năm 2025;</w:t>
      </w:r>
    </w:p>
    <w:p w14:paraId="79FC9531" w14:textId="77777777" w:rsidR="00AB6152" w:rsidRDefault="00CE0510">
      <w:pPr>
        <w:pStyle w:val="Vnbnnidung0"/>
        <w:tabs>
          <w:tab w:val="left" w:leader="dot" w:pos="3048"/>
        </w:tabs>
        <w:spacing w:before="60" w:after="60" w:line="288" w:lineRule="auto"/>
        <w:ind w:firstLine="720"/>
        <w:jc w:val="both"/>
        <w:rPr>
          <w:rFonts w:ascii="Times New Roman Italic" w:hAnsi="Times New Roman Italic"/>
          <w:i/>
          <w:iCs/>
          <w:spacing w:val="-2"/>
        </w:rPr>
      </w:pPr>
      <w:r>
        <w:rPr>
          <w:rFonts w:ascii="Times New Roman Italic" w:hAnsi="Times New Roman Italic"/>
          <w:i/>
          <w:iCs/>
          <w:spacing w:val="-2"/>
        </w:rPr>
        <w:t>Căn cứ Luật Đấu thầu ngày 23 tháng 6 năm 2023;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69F46B4A" w14:textId="77777777" w:rsidR="00AB6152" w:rsidRDefault="00CE0510">
      <w:pPr>
        <w:pStyle w:val="Vnbnnidung0"/>
        <w:tabs>
          <w:tab w:val="left" w:leader="dot" w:pos="3048"/>
        </w:tabs>
        <w:spacing w:before="60" w:after="60" w:line="288" w:lineRule="auto"/>
        <w:ind w:firstLine="720"/>
        <w:jc w:val="both"/>
        <w:rPr>
          <w:i/>
          <w:iCs/>
        </w:rPr>
      </w:pPr>
      <w:r>
        <w:rPr>
          <w:i/>
          <w:iCs/>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60C4E4B3" w14:textId="77777777" w:rsidR="00AB6152" w:rsidRDefault="00CE0510">
      <w:pPr>
        <w:pStyle w:val="Vnbnnidung0"/>
        <w:tabs>
          <w:tab w:val="left" w:leader="dot" w:pos="3048"/>
        </w:tabs>
        <w:spacing w:before="60" w:after="60" w:line="288" w:lineRule="auto"/>
        <w:ind w:firstLine="720"/>
        <w:jc w:val="both"/>
        <w:rPr>
          <w:i/>
          <w:iCs/>
        </w:rPr>
      </w:pPr>
      <w:r>
        <w:rPr>
          <w:i/>
          <w:iCs/>
        </w:rPr>
        <w:t>Căn cứ Nghị định số 102/2024/NĐ-CP ngày 30 tháng 7 năm 2024 của Chính phủ quy định chi tiết thi hành một số điều của Luật Đất đai; Nghị định số 226/2025/NĐ-CP ngày 15 tháng 8 năm 2025 của Chính phủ sửa đổi, bổ sung một số điều của các nghị định quy định chi tiết thi hành một Luật Đất đai;</w:t>
      </w:r>
    </w:p>
    <w:p w14:paraId="7C8699AA" w14:textId="77777777" w:rsidR="00AB6152" w:rsidRDefault="00CE0510">
      <w:pPr>
        <w:pStyle w:val="Vnbnnidung0"/>
        <w:tabs>
          <w:tab w:val="left" w:leader="dot" w:pos="3048"/>
        </w:tabs>
        <w:spacing w:before="60" w:after="60" w:line="288" w:lineRule="auto"/>
        <w:ind w:firstLine="720"/>
        <w:jc w:val="both"/>
        <w:rPr>
          <w:rFonts w:ascii="Times New Roman Italic" w:hAnsi="Times New Roman Italic"/>
          <w:i/>
          <w:iCs/>
          <w:spacing w:val="-4"/>
        </w:rPr>
      </w:pPr>
      <w:r>
        <w:rPr>
          <w:rFonts w:ascii="Times New Roman Italic" w:hAnsi="Times New Roman Italic"/>
          <w:i/>
          <w:iCs/>
          <w:spacing w:val="-4"/>
        </w:rPr>
        <w:t>Căn cứ Nghị định số 115/2024/NĐ-CP ngày 16 tháng 9 năm 2024 của Chính phủ quy định chi tiết một số điều và biện pháp thi hành Luật Đấu thầu về lựa chọn nhà đầu tư thực hiện dự án có sử dụng đất; Nghị định số 225/2025/NĐ-CP ngày 15 tháng 8 năm 2025 của Chính phủ sửa đổi, bổ sung một số điều của các nghị định quy định chi tiết một số điều và biện pháp thi hành Luật Đấu thầu về lựa chọn nhà đầu tư;</w:t>
      </w:r>
    </w:p>
    <w:p w14:paraId="52C20B83" w14:textId="358E4DA4" w:rsidR="00AB6152" w:rsidRDefault="00CE0510">
      <w:pPr>
        <w:pStyle w:val="Vnbnnidung0"/>
        <w:tabs>
          <w:tab w:val="left" w:leader="dot" w:pos="3048"/>
        </w:tabs>
        <w:spacing w:before="60" w:after="60" w:line="288" w:lineRule="auto"/>
        <w:ind w:firstLine="720"/>
        <w:jc w:val="both"/>
        <w:rPr>
          <w:i/>
          <w:iCs/>
        </w:rPr>
      </w:pPr>
      <w:r>
        <w:rPr>
          <w:i/>
          <w:iCs/>
        </w:rPr>
        <w:t xml:space="preserve">Căn cứ Nghị quyết số 19/2025/NQ-HĐND ngày 17 tháng 9 năm 2025 của </w:t>
      </w:r>
      <w:r w:rsidR="00C53E1D">
        <w:rPr>
          <w:i/>
          <w:iCs/>
        </w:rPr>
        <w:t xml:space="preserve">Hội đồng nhân dân </w:t>
      </w:r>
      <w:r>
        <w:rPr>
          <w:i/>
          <w:iCs/>
        </w:rPr>
        <w:t>tỉnh Phú Thọ quy định các tiêu chí để quyết định thực hiện đấu thầu lựa chọn nhà đầu tư thực hiện dự án đầu tư có sử dụng đất trên địa bàn tỉnh Phú Thọ;</w:t>
      </w:r>
    </w:p>
    <w:p w14:paraId="79408B0F" w14:textId="77777777" w:rsidR="00AB6152" w:rsidRDefault="00CE0510">
      <w:pPr>
        <w:pStyle w:val="Vnbnnidung0"/>
        <w:tabs>
          <w:tab w:val="left" w:leader="dot" w:pos="3048"/>
        </w:tabs>
        <w:spacing w:before="60" w:after="60" w:line="288" w:lineRule="auto"/>
        <w:ind w:firstLine="720"/>
        <w:jc w:val="both"/>
      </w:pPr>
      <w:r>
        <w:rPr>
          <w:i/>
          <w:iCs/>
        </w:rPr>
        <w:t>Xét Tờ trình số 10278/TTr-UBND ngày 29 tháng 11 năm 2025 của Ủy ban nhân dân tỉnh; Báo cáo thẩm tra của Ban Kinh tế - Ngân sách Hội đồng nhân dân tỉnh; ý kiến thảo luận của đại biểu Hội đồng nhân dân tỉnh tại kỳ họp.</w:t>
      </w:r>
    </w:p>
    <w:p w14:paraId="3C23C2EC" w14:textId="77777777" w:rsidR="00AB6152" w:rsidRDefault="00CE0510">
      <w:pPr>
        <w:pStyle w:val="Vnbnnidung0"/>
        <w:spacing w:before="240" w:after="240"/>
        <w:ind w:firstLine="0"/>
        <w:jc w:val="center"/>
      </w:pPr>
      <w:r>
        <w:rPr>
          <w:b/>
          <w:bCs/>
        </w:rPr>
        <w:lastRenderedPageBreak/>
        <w:t>QUYẾT NGHỊ:</w:t>
      </w:r>
    </w:p>
    <w:p w14:paraId="42F9B6F8" w14:textId="77777777" w:rsidR="00AB6152" w:rsidRDefault="00CE0510">
      <w:pPr>
        <w:pStyle w:val="Vnbnnidung0"/>
        <w:spacing w:before="60" w:after="60" w:line="288" w:lineRule="auto"/>
        <w:ind w:firstLine="740"/>
        <w:jc w:val="both"/>
      </w:pPr>
      <w:r>
        <w:rPr>
          <w:b/>
          <w:bCs/>
        </w:rPr>
        <w:t xml:space="preserve">Điều 1. </w:t>
      </w:r>
      <w:r w:rsidRPr="00D50D33">
        <w:rPr>
          <w:b/>
          <w:bCs/>
        </w:rPr>
        <w:t>Ban hành Danh mục các khu đất thực hiện đấu thầu lựa chọn nhà đầu tư thực hiện dự án đầu tư có sử dụng đất trên địa bàn tỉnh Phú Thọ, gồm:</w:t>
      </w:r>
    </w:p>
    <w:p w14:paraId="00ED1CC4" w14:textId="67641D74" w:rsidR="00AB6152" w:rsidRDefault="00CE0510">
      <w:pPr>
        <w:pStyle w:val="Vnbnnidung0"/>
        <w:spacing w:before="60" w:after="60" w:line="288" w:lineRule="auto"/>
        <w:ind w:firstLine="720"/>
        <w:jc w:val="both"/>
      </w:pPr>
      <w:r>
        <w:t xml:space="preserve">1. Danh mục các khu đất thuộc trường hợp phải tổ chức đấu thầu lựa chọn nhà đầu tư theo Nghị quyết số 19/2025/NQ-HĐND ngày 17 tháng 9 năm 2025 của </w:t>
      </w:r>
      <w:r w:rsidR="00D350B7">
        <w:t xml:space="preserve">Hội đồng nhân dân </w:t>
      </w:r>
      <w:r>
        <w:t>tỉnh Phú Thọ: 07 khu đất.</w:t>
      </w:r>
    </w:p>
    <w:p w14:paraId="2375486C" w14:textId="77777777" w:rsidR="00AB6152" w:rsidRDefault="00CE0510">
      <w:pPr>
        <w:pStyle w:val="Vnbnnidung0"/>
        <w:spacing w:before="60" w:after="60" w:line="288" w:lineRule="auto"/>
        <w:ind w:firstLine="720"/>
        <w:jc w:val="center"/>
        <w:rPr>
          <w:i/>
          <w:iCs/>
        </w:rPr>
      </w:pPr>
      <w:r>
        <w:rPr>
          <w:i/>
          <w:iCs/>
        </w:rPr>
        <w:t>(Chi tiết có phụ lục số 01 kèm theo)</w:t>
      </w:r>
    </w:p>
    <w:p w14:paraId="65681A12" w14:textId="77777777" w:rsidR="00AB6152" w:rsidRDefault="00CE0510">
      <w:pPr>
        <w:pStyle w:val="Vnbnnidung0"/>
        <w:spacing w:before="60" w:after="60" w:line="288" w:lineRule="auto"/>
        <w:ind w:firstLine="720"/>
        <w:jc w:val="both"/>
      </w:pPr>
      <w:r>
        <w:t>2. Danh mục các khu đất thuộc trường hợp phải tổ chức đấu thầu lựa chọn nhà đầu tư theo quy định của pháp luật quản lý ngành, lĩnh vực: 03 khu đất.</w:t>
      </w:r>
    </w:p>
    <w:p w14:paraId="65BD0AC7" w14:textId="77777777" w:rsidR="00AB6152" w:rsidRDefault="00CE0510">
      <w:pPr>
        <w:pStyle w:val="Vnbnnidung0"/>
        <w:spacing w:before="60" w:after="60" w:line="288" w:lineRule="auto"/>
        <w:ind w:firstLine="720"/>
        <w:jc w:val="center"/>
        <w:rPr>
          <w:i/>
          <w:iCs/>
        </w:rPr>
      </w:pPr>
      <w:r>
        <w:rPr>
          <w:i/>
          <w:iCs/>
        </w:rPr>
        <w:t>(Chi tiết có phụ lục số 02 kèm theo)</w:t>
      </w:r>
    </w:p>
    <w:p w14:paraId="20535B8C" w14:textId="77777777" w:rsidR="00AB6152" w:rsidRDefault="00CE0510">
      <w:pPr>
        <w:pStyle w:val="Vnbnnidung0"/>
        <w:spacing w:before="60" w:after="60" w:line="288" w:lineRule="auto"/>
        <w:ind w:firstLine="720"/>
        <w:jc w:val="both"/>
        <w:rPr>
          <w:iCs/>
        </w:rPr>
      </w:pPr>
      <w:r>
        <w:rPr>
          <w:iCs/>
        </w:rPr>
        <w:t>3. Danh mục các khu đất đưa ra khỏi Danh mục các khu đất thực hiện đấu thầu lựa chọn nhà đầu tư thực hiện dự án đầu tư có sử dụng đất đã được duyệt, gồm: 01 khu đất.</w:t>
      </w:r>
    </w:p>
    <w:p w14:paraId="38EBC8E0" w14:textId="77777777" w:rsidR="00AB6152" w:rsidRDefault="00CE0510">
      <w:pPr>
        <w:pStyle w:val="Vnbnnidung0"/>
        <w:spacing w:before="60" w:after="60" w:line="288" w:lineRule="auto"/>
        <w:ind w:firstLine="720"/>
        <w:jc w:val="center"/>
        <w:rPr>
          <w:i/>
          <w:iCs/>
        </w:rPr>
      </w:pPr>
      <w:r>
        <w:rPr>
          <w:i/>
          <w:iCs/>
        </w:rPr>
        <w:t>(Chi tiết có phụ lục số 03 kèm theo)</w:t>
      </w:r>
    </w:p>
    <w:p w14:paraId="488609FF" w14:textId="77777777" w:rsidR="00AB6152" w:rsidRDefault="00CE0510">
      <w:pPr>
        <w:pStyle w:val="Vnbnnidung0"/>
        <w:spacing w:before="60" w:after="60" w:line="288" w:lineRule="auto"/>
        <w:ind w:firstLine="740"/>
      </w:pPr>
      <w:r>
        <w:rPr>
          <w:b/>
          <w:bCs/>
        </w:rPr>
        <w:t xml:space="preserve">Điều 2. </w:t>
      </w:r>
      <w:r w:rsidRPr="00D50D33">
        <w:rPr>
          <w:b/>
          <w:bCs/>
        </w:rPr>
        <w:t>Tổ chức thực hiện</w:t>
      </w:r>
    </w:p>
    <w:p w14:paraId="593A668F" w14:textId="77777777" w:rsidR="00B57CC1" w:rsidRPr="00B57CC1" w:rsidRDefault="00CE0510" w:rsidP="00B57CC1">
      <w:pPr>
        <w:spacing w:before="60" w:after="60" w:line="276" w:lineRule="auto"/>
        <w:ind w:firstLine="720"/>
        <w:jc w:val="both"/>
        <w:rPr>
          <w:rFonts w:ascii="Times New Roman" w:eastAsia="Times New Roman" w:hAnsi="Times New Roman" w:cs="Times New Roman"/>
          <w:color w:val="auto"/>
          <w:kern w:val="2"/>
          <w:sz w:val="28"/>
          <w:szCs w:val="28"/>
          <w:lang w:val="en-US" w:eastAsia="en-US" w:bidi="ar-SA"/>
          <w14:ligatures w14:val="standardContextual"/>
        </w:rPr>
      </w:pPr>
      <w:bookmarkStart w:id="1" w:name="bookmark24"/>
      <w:bookmarkEnd w:id="1"/>
      <w:r w:rsidRPr="00B57CC1">
        <w:rPr>
          <w:rFonts w:ascii="Times New Roman" w:eastAsia="Times New Roman" w:hAnsi="Times New Roman" w:cs="Times New Roman"/>
          <w:color w:val="auto"/>
          <w:kern w:val="2"/>
          <w:sz w:val="28"/>
          <w:szCs w:val="28"/>
          <w:lang w:val="en-US" w:eastAsia="en-US" w:bidi="ar-SA"/>
          <w14:ligatures w14:val="standardContextual"/>
        </w:rPr>
        <w:t xml:space="preserve">1. </w:t>
      </w:r>
      <w:bookmarkStart w:id="2" w:name="bookmark25"/>
      <w:bookmarkEnd w:id="2"/>
      <w:r w:rsidR="00B57CC1" w:rsidRPr="00B57CC1">
        <w:rPr>
          <w:rFonts w:ascii="Times New Roman" w:eastAsia="Times New Roman" w:hAnsi="Times New Roman" w:cs="Times New Roman"/>
          <w:color w:val="auto"/>
          <w:kern w:val="2"/>
          <w:sz w:val="28"/>
          <w:szCs w:val="28"/>
          <w:lang w:val="en-US" w:eastAsia="en-US" w:bidi="ar-SA"/>
          <w14:ligatures w14:val="standardContextual"/>
        </w:rPr>
        <w:t xml:space="preserve">Ủy ban nhân dân tỉnh tổ chức triển khai thực hiện Nghị quyết đảm bảo đúng các quy định của pháp luật. </w:t>
      </w:r>
    </w:p>
    <w:p w14:paraId="307D5D82" w14:textId="77777777" w:rsidR="00AB6152" w:rsidRDefault="00CE0510">
      <w:pPr>
        <w:pStyle w:val="Vnbnnidung0"/>
        <w:spacing w:before="60" w:after="60" w:line="288" w:lineRule="auto"/>
        <w:ind w:firstLine="740"/>
        <w:jc w:val="both"/>
      </w:pPr>
      <w:r>
        <w:t>2. Thường trực Hội đồng nhân dân, các Ban của Hội đồng nhân dân, các Tổ đại biểu Hội đồng nhân dân và đại biểu Hội đồng nhân dân tỉnh giám sát việc thực hiện Nghị quyết này.</w:t>
      </w:r>
    </w:p>
    <w:p w14:paraId="54790ABC" w14:textId="65DC6593" w:rsidR="00AB6152" w:rsidRPr="00DF1725" w:rsidRDefault="00CE0510">
      <w:pPr>
        <w:pStyle w:val="Vnbnnidung0"/>
        <w:spacing w:before="60" w:after="60" w:line="288" w:lineRule="auto"/>
        <w:ind w:firstLine="740"/>
        <w:jc w:val="both"/>
        <w:rPr>
          <w:i/>
          <w:iCs/>
        </w:rPr>
      </w:pPr>
      <w:r w:rsidRPr="00DF1725">
        <w:rPr>
          <w:i/>
          <w:iCs/>
        </w:rPr>
        <w:t xml:space="preserve">Nghị quyết này đã được Hội đồng nhân dân tỉnh Phú Thọ khóa XIX, </w:t>
      </w:r>
      <w:r w:rsidR="00DF1725">
        <w:rPr>
          <w:i/>
          <w:iCs/>
        </w:rPr>
        <w:t>K</w:t>
      </w:r>
      <w:r w:rsidRPr="00DF1725">
        <w:rPr>
          <w:i/>
          <w:iCs/>
        </w:rPr>
        <w:t xml:space="preserve">ỳ họp </w:t>
      </w:r>
      <w:r w:rsidR="00C4225C">
        <w:rPr>
          <w:i/>
          <w:iCs/>
        </w:rPr>
        <w:t xml:space="preserve">thường lệ </w:t>
      </w:r>
      <w:r w:rsidRPr="00DF1725">
        <w:rPr>
          <w:i/>
          <w:iCs/>
        </w:rPr>
        <w:t xml:space="preserve">thứ Hai thông qua ngày 10 tháng 12 năm 2025 và có hiệu lực </w:t>
      </w:r>
      <w:r w:rsidR="00DF1725">
        <w:rPr>
          <w:i/>
          <w:iCs/>
        </w:rPr>
        <w:t xml:space="preserve">thi hành kể </w:t>
      </w:r>
      <w:r w:rsidRPr="00DF1725">
        <w:rPr>
          <w:i/>
          <w:iCs/>
        </w:rPr>
        <w:t>từ ngày thông qua./.</w:t>
      </w:r>
    </w:p>
    <w:p w14:paraId="429DA537" w14:textId="77777777" w:rsidR="00AB6152" w:rsidRDefault="00AB6152">
      <w:pPr>
        <w:pStyle w:val="Vnbnnidung0"/>
        <w:spacing w:after="120"/>
        <w:ind w:firstLine="740"/>
        <w:jc w:val="both"/>
        <w:rPr>
          <w:sz w:val="16"/>
          <w:szCs w:val="16"/>
        </w:rPr>
      </w:pPr>
    </w:p>
    <w:tbl>
      <w:tblPr>
        <w:tblW w:w="0" w:type="auto"/>
        <w:tblLook w:val="01E0" w:firstRow="1" w:lastRow="1" w:firstColumn="1" w:lastColumn="1" w:noHBand="0" w:noVBand="0"/>
      </w:tblPr>
      <w:tblGrid>
        <w:gridCol w:w="4674"/>
        <w:gridCol w:w="4566"/>
      </w:tblGrid>
      <w:tr w:rsidR="00AB6152" w14:paraId="27016EB9" w14:textId="77777777">
        <w:trPr>
          <w:trHeight w:val="4084"/>
        </w:trPr>
        <w:tc>
          <w:tcPr>
            <w:tcW w:w="4674" w:type="dxa"/>
          </w:tcPr>
          <w:p w14:paraId="34D7FD6E" w14:textId="313E94E1" w:rsidR="00AB6152" w:rsidRDefault="00CE0510">
            <w:pPr>
              <w:jc w:val="both"/>
              <w:rPr>
                <w:rFonts w:ascii="Times New Roman" w:hAnsi="Times New Roman"/>
                <w:b/>
                <w:bCs/>
              </w:rPr>
            </w:pPr>
            <w:r>
              <w:rPr>
                <w:rFonts w:ascii="Times New Roman" w:hAnsi="Times New Roman"/>
                <w:b/>
                <w:bCs/>
                <w:i/>
                <w:iCs/>
              </w:rPr>
              <w:t>Nơi nhận:</w:t>
            </w:r>
            <w:r>
              <w:rPr>
                <w:rFonts w:ascii="Times New Roman" w:hAnsi="Times New Roman"/>
              </w:rPr>
              <w:tab/>
            </w:r>
            <w:r w:rsidR="00DF1725">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F1725">
              <w:rPr>
                <w:rFonts w:ascii="Times New Roman" w:hAnsi="Times New Roman"/>
              </w:rPr>
              <w:t xml:space="preserve"> </w:t>
            </w:r>
          </w:p>
          <w:p w14:paraId="5D22459E" w14:textId="3BB5649A" w:rsidR="00AB6152" w:rsidRPr="00C53E1D" w:rsidRDefault="00CE0510">
            <w:pPr>
              <w:jc w:val="both"/>
              <w:rPr>
                <w:rFonts w:ascii="Times New Roman" w:hAnsi="Times New Roman"/>
                <w:sz w:val="22"/>
                <w:szCs w:val="22"/>
                <w:lang w:val="en-US"/>
              </w:rPr>
            </w:pPr>
            <w:r w:rsidRPr="00C53E1D">
              <w:rPr>
                <w:rFonts w:ascii="Times New Roman" w:hAnsi="Times New Roman"/>
                <w:sz w:val="22"/>
                <w:szCs w:val="22"/>
                <w:lang w:val="en-US"/>
              </w:rPr>
              <w:t>- UBTVQH, Chính phủ;</w:t>
            </w:r>
            <w:r w:rsidRPr="00C53E1D">
              <w:rPr>
                <w:rFonts w:ascii="Times New Roman" w:hAnsi="Times New Roman"/>
                <w:sz w:val="22"/>
                <w:szCs w:val="22"/>
                <w:lang w:val="en-US"/>
              </w:rPr>
              <w:tab/>
            </w:r>
            <w:r w:rsidRPr="00C53E1D">
              <w:rPr>
                <w:rFonts w:ascii="Times New Roman" w:hAnsi="Times New Roman"/>
                <w:sz w:val="22"/>
                <w:szCs w:val="22"/>
                <w:lang w:val="en-US"/>
              </w:rPr>
              <w:tab/>
            </w:r>
            <w:r w:rsidRPr="00C53E1D">
              <w:rPr>
                <w:rFonts w:ascii="Times New Roman" w:hAnsi="Times New Roman"/>
                <w:sz w:val="22"/>
                <w:szCs w:val="22"/>
                <w:lang w:val="en-US"/>
              </w:rPr>
              <w:tab/>
            </w:r>
            <w:r w:rsidR="00DF1725" w:rsidRPr="00C53E1D">
              <w:rPr>
                <w:rFonts w:ascii="Times New Roman" w:hAnsi="Times New Roman"/>
                <w:sz w:val="22"/>
                <w:szCs w:val="22"/>
                <w:lang w:val="en-US"/>
              </w:rPr>
              <w:t xml:space="preserve"> </w:t>
            </w:r>
          </w:p>
          <w:p w14:paraId="06D5A461" w14:textId="77777777" w:rsidR="00AB6152" w:rsidRPr="00C53E1D" w:rsidRDefault="00CE0510">
            <w:pPr>
              <w:jc w:val="both"/>
              <w:rPr>
                <w:rFonts w:ascii="Times New Roman" w:hAnsi="Times New Roman"/>
                <w:sz w:val="22"/>
                <w:szCs w:val="22"/>
                <w:lang w:val="en-US"/>
              </w:rPr>
            </w:pPr>
            <w:r w:rsidRPr="00C53E1D">
              <w:rPr>
                <w:rFonts w:ascii="Times New Roman" w:hAnsi="Times New Roman"/>
                <w:sz w:val="22"/>
                <w:szCs w:val="22"/>
                <w:lang w:val="en-US"/>
              </w:rPr>
              <w:t>- VPQH, VPCP;</w:t>
            </w:r>
          </w:p>
          <w:p w14:paraId="4D0FD8E1" w14:textId="6154B168" w:rsidR="00AB6152" w:rsidRPr="00C53E1D" w:rsidRDefault="00B57CC1">
            <w:pPr>
              <w:jc w:val="both"/>
              <w:rPr>
                <w:rFonts w:ascii="Times New Roman" w:hAnsi="Times New Roman"/>
                <w:sz w:val="22"/>
                <w:szCs w:val="22"/>
                <w:lang w:val="en-US"/>
              </w:rPr>
            </w:pPr>
            <w:r w:rsidRPr="00C53E1D">
              <w:rPr>
                <w:rFonts w:ascii="Times New Roman" w:hAnsi="Times New Roman"/>
                <w:sz w:val="22"/>
                <w:szCs w:val="22"/>
                <w:lang w:val="en-US"/>
              </w:rPr>
              <w:t xml:space="preserve">- </w:t>
            </w:r>
            <w:r w:rsidR="00CE0510" w:rsidRPr="00C53E1D">
              <w:rPr>
                <w:rFonts w:ascii="Times New Roman" w:hAnsi="Times New Roman"/>
                <w:sz w:val="22"/>
                <w:szCs w:val="22"/>
                <w:lang w:val="en-US"/>
              </w:rPr>
              <w:t>Bộ</w:t>
            </w:r>
            <w:r w:rsidRPr="00C53E1D">
              <w:rPr>
                <w:rFonts w:ascii="Times New Roman" w:hAnsi="Times New Roman"/>
                <w:sz w:val="22"/>
                <w:szCs w:val="22"/>
                <w:lang w:val="en-US"/>
              </w:rPr>
              <w:t xml:space="preserve"> </w:t>
            </w:r>
            <w:r w:rsidR="00B9338D" w:rsidRPr="00C53E1D">
              <w:rPr>
                <w:rFonts w:ascii="Times New Roman" w:hAnsi="Times New Roman"/>
                <w:sz w:val="22"/>
                <w:szCs w:val="22"/>
                <w:lang w:val="en-US"/>
              </w:rPr>
              <w:t>Tài chính</w:t>
            </w:r>
            <w:r w:rsidR="00CE0510" w:rsidRPr="00C53E1D">
              <w:rPr>
                <w:rFonts w:ascii="Times New Roman" w:hAnsi="Times New Roman"/>
                <w:sz w:val="22"/>
                <w:szCs w:val="22"/>
                <w:lang w:val="en-US"/>
              </w:rPr>
              <w:t>;</w:t>
            </w:r>
          </w:p>
          <w:p w14:paraId="7400200E" w14:textId="77777777" w:rsidR="00AB6152" w:rsidRPr="00C53E1D" w:rsidRDefault="00CE0510">
            <w:pPr>
              <w:jc w:val="both"/>
              <w:rPr>
                <w:rFonts w:ascii="Times New Roman" w:hAnsi="Times New Roman"/>
                <w:sz w:val="22"/>
                <w:szCs w:val="22"/>
                <w:lang w:val="en-US"/>
              </w:rPr>
            </w:pPr>
            <w:r w:rsidRPr="00C53E1D">
              <w:rPr>
                <w:rFonts w:ascii="Times New Roman" w:hAnsi="Times New Roman"/>
                <w:sz w:val="22"/>
                <w:szCs w:val="22"/>
                <w:lang w:val="en-US"/>
              </w:rPr>
              <w:t>- TTTU, TTHĐND, UBND, UBMTTQ tỉnh;</w:t>
            </w:r>
          </w:p>
          <w:p w14:paraId="43DA9DA4" w14:textId="77777777" w:rsidR="00AB6152" w:rsidRDefault="00CE0510">
            <w:pPr>
              <w:jc w:val="both"/>
              <w:rPr>
                <w:rFonts w:ascii="Times New Roman" w:hAnsi="Times New Roman"/>
                <w:sz w:val="22"/>
                <w:szCs w:val="22"/>
              </w:rPr>
            </w:pPr>
            <w:r>
              <w:rPr>
                <w:rFonts w:ascii="Times New Roman" w:hAnsi="Times New Roman"/>
                <w:sz w:val="22"/>
                <w:szCs w:val="22"/>
              </w:rPr>
              <w:t>- Đoàn ĐBQH tỉnh;</w:t>
            </w:r>
          </w:p>
          <w:p w14:paraId="34DE6D6D" w14:textId="77777777" w:rsidR="00AB6152" w:rsidRDefault="00CE0510">
            <w:pPr>
              <w:jc w:val="both"/>
              <w:rPr>
                <w:rFonts w:ascii="Times New Roman" w:hAnsi="Times New Roman"/>
                <w:sz w:val="22"/>
                <w:szCs w:val="22"/>
              </w:rPr>
            </w:pPr>
            <w:r>
              <w:rPr>
                <w:rFonts w:ascii="Times New Roman" w:hAnsi="Times New Roman"/>
                <w:sz w:val="22"/>
                <w:szCs w:val="22"/>
              </w:rPr>
              <w:t>- Các Ban của HĐND tỉnh;</w:t>
            </w:r>
          </w:p>
          <w:p w14:paraId="5418C810" w14:textId="77777777" w:rsidR="00AB6152" w:rsidRDefault="00CE0510">
            <w:pPr>
              <w:jc w:val="both"/>
              <w:rPr>
                <w:rFonts w:ascii="Times New Roman" w:hAnsi="Times New Roman"/>
                <w:sz w:val="22"/>
                <w:szCs w:val="22"/>
              </w:rPr>
            </w:pPr>
            <w:r>
              <w:rPr>
                <w:rFonts w:ascii="Times New Roman" w:hAnsi="Times New Roman"/>
                <w:sz w:val="22"/>
                <w:szCs w:val="22"/>
              </w:rPr>
              <w:t>- Các đại biểu HĐND tỉnh;</w:t>
            </w:r>
          </w:p>
          <w:p w14:paraId="55BFE301" w14:textId="22DCEDFF" w:rsidR="00AB6152" w:rsidRDefault="00CE0510">
            <w:pPr>
              <w:jc w:val="both"/>
              <w:rPr>
                <w:rFonts w:ascii="Times New Roman" w:hAnsi="Times New Roman"/>
                <w:sz w:val="22"/>
                <w:szCs w:val="22"/>
              </w:rPr>
            </w:pPr>
            <w:r>
              <w:rPr>
                <w:rFonts w:ascii="Times New Roman" w:hAnsi="Times New Roman"/>
                <w:sz w:val="22"/>
                <w:szCs w:val="22"/>
              </w:rPr>
              <w:t>- Các sở, ban, ngành, đoàn thể ở tỉnh;</w:t>
            </w:r>
            <w:r>
              <w:rPr>
                <w:rFonts w:ascii="Times New Roman" w:hAnsi="Times New Roman"/>
                <w:sz w:val="22"/>
                <w:szCs w:val="22"/>
              </w:rPr>
              <w:tab/>
            </w:r>
            <w:r w:rsidR="00DF1725">
              <w:rPr>
                <w:rFonts w:ascii="Times New Roman" w:hAnsi="Times New Roman"/>
                <w:sz w:val="22"/>
                <w:szCs w:val="22"/>
              </w:rPr>
              <w:t xml:space="preserve"> </w:t>
            </w:r>
          </w:p>
          <w:p w14:paraId="3D748B5C" w14:textId="77777777" w:rsidR="00AB6152" w:rsidRDefault="00CE0510">
            <w:pPr>
              <w:jc w:val="both"/>
              <w:rPr>
                <w:rFonts w:ascii="Times New Roman" w:hAnsi="Times New Roman"/>
                <w:sz w:val="22"/>
                <w:szCs w:val="22"/>
              </w:rPr>
            </w:pPr>
            <w:r>
              <w:rPr>
                <w:rFonts w:ascii="Times New Roman" w:hAnsi="Times New Roman"/>
                <w:sz w:val="22"/>
                <w:szCs w:val="22"/>
              </w:rPr>
              <w:t>- Văn phòng Đoàn ĐBQH và HĐND tỉnh;</w:t>
            </w:r>
          </w:p>
          <w:p w14:paraId="3B1314C6" w14:textId="75CF8A7B" w:rsidR="00AB6152" w:rsidRDefault="00CE0510">
            <w:pPr>
              <w:jc w:val="both"/>
              <w:rPr>
                <w:rFonts w:ascii="Times New Roman" w:hAnsi="Times New Roman"/>
                <w:sz w:val="22"/>
                <w:szCs w:val="22"/>
              </w:rPr>
            </w:pPr>
            <w:r>
              <w:rPr>
                <w:rFonts w:ascii="Times New Roman" w:hAnsi="Times New Roman"/>
                <w:sz w:val="22"/>
                <w:szCs w:val="22"/>
              </w:rPr>
              <w:t>- ĐU, TTHĐND, UBND các xã, phường;</w:t>
            </w:r>
            <w:r w:rsidR="00DF1725">
              <w:rPr>
                <w:rFonts w:ascii="Times New Roman" w:hAnsi="Times New Roman"/>
                <w:sz w:val="22"/>
                <w:szCs w:val="22"/>
              </w:rPr>
              <w:t xml:space="preserve"> </w:t>
            </w:r>
          </w:p>
          <w:p w14:paraId="6610CD4A" w14:textId="77777777" w:rsidR="00AB6152" w:rsidRDefault="00CE0510">
            <w:pPr>
              <w:jc w:val="both"/>
              <w:rPr>
                <w:rFonts w:ascii="Times New Roman" w:hAnsi="Times New Roman"/>
                <w:sz w:val="22"/>
                <w:szCs w:val="22"/>
              </w:rPr>
            </w:pPr>
            <w:r>
              <w:rPr>
                <w:rFonts w:ascii="Times New Roman" w:hAnsi="Times New Roman"/>
                <w:sz w:val="22"/>
                <w:szCs w:val="22"/>
              </w:rPr>
              <w:t>- Trung tâm Thông tin - Công báo;</w:t>
            </w:r>
          </w:p>
          <w:p w14:paraId="2DA07629" w14:textId="5B4772AF" w:rsidR="00AB6152" w:rsidRDefault="00CE0510">
            <w:pPr>
              <w:jc w:val="both"/>
              <w:rPr>
                <w:rFonts w:ascii="Times New Roman" w:hAnsi="Times New Roman"/>
                <w:b/>
                <w:szCs w:val="28"/>
              </w:rPr>
            </w:pPr>
            <w:r>
              <w:rPr>
                <w:rFonts w:ascii="Times New Roman" w:hAnsi="Times New Roman"/>
                <w:sz w:val="22"/>
                <w:szCs w:val="22"/>
              </w:rPr>
              <w:t>- Lưu: VT, HĐ</w:t>
            </w:r>
            <w:r>
              <w:rPr>
                <w:rFonts w:ascii="Times New Roman" w:hAnsi="Times New Roman"/>
                <w:sz w:val="22"/>
                <w:szCs w:val="22"/>
                <w:vertAlign w:val="superscript"/>
              </w:rPr>
              <w:t>10</w:t>
            </w:r>
            <w:r w:rsidR="00C35D25">
              <w:rPr>
                <w:rFonts w:ascii="Times New Roman" w:hAnsi="Times New Roman"/>
                <w:sz w:val="22"/>
                <w:szCs w:val="22"/>
                <w:vertAlign w:val="superscript"/>
                <w:lang w:val="en-US"/>
              </w:rPr>
              <w:t>,12</w:t>
            </w:r>
            <w:r>
              <w:rPr>
                <w:rFonts w:ascii="Times New Roman" w:hAnsi="Times New Roman"/>
                <w:sz w:val="22"/>
                <w:szCs w:val="22"/>
              </w:rPr>
              <w:t>.</w:t>
            </w:r>
          </w:p>
        </w:tc>
        <w:tc>
          <w:tcPr>
            <w:tcW w:w="4566" w:type="dxa"/>
          </w:tcPr>
          <w:p w14:paraId="7FE1DA68" w14:textId="77777777" w:rsidR="00AB6152" w:rsidRDefault="00CE0510">
            <w:pPr>
              <w:jc w:val="center"/>
              <w:rPr>
                <w:rFonts w:ascii="Times New Roman" w:hAnsi="Times New Roman"/>
                <w:b/>
                <w:bCs/>
                <w:sz w:val="26"/>
                <w:szCs w:val="28"/>
              </w:rPr>
            </w:pPr>
            <w:r>
              <w:rPr>
                <w:rFonts w:ascii="Times New Roman" w:hAnsi="Times New Roman"/>
                <w:b/>
                <w:bCs/>
                <w:sz w:val="26"/>
                <w:szCs w:val="28"/>
              </w:rPr>
              <w:t>CHỦ TỊCH</w:t>
            </w:r>
          </w:p>
          <w:p w14:paraId="1684CDFB" w14:textId="77777777" w:rsidR="00AB6152" w:rsidRDefault="00AB6152">
            <w:pPr>
              <w:jc w:val="center"/>
              <w:rPr>
                <w:rFonts w:ascii="Times New Roman" w:hAnsi="Times New Roman"/>
                <w:b/>
                <w:bCs/>
                <w:szCs w:val="28"/>
              </w:rPr>
            </w:pPr>
          </w:p>
          <w:p w14:paraId="7FDED5F2" w14:textId="77777777" w:rsidR="00AB6152" w:rsidRDefault="00AB6152">
            <w:pPr>
              <w:jc w:val="center"/>
              <w:rPr>
                <w:rFonts w:ascii="Times New Roman" w:hAnsi="Times New Roman"/>
                <w:b/>
                <w:bCs/>
                <w:szCs w:val="28"/>
              </w:rPr>
            </w:pPr>
          </w:p>
          <w:p w14:paraId="22C294DC" w14:textId="77777777" w:rsidR="00AB6152" w:rsidRDefault="00AB6152">
            <w:pPr>
              <w:jc w:val="center"/>
              <w:rPr>
                <w:rFonts w:ascii="Times New Roman" w:hAnsi="Times New Roman"/>
                <w:b/>
                <w:bCs/>
                <w:szCs w:val="28"/>
              </w:rPr>
            </w:pPr>
          </w:p>
          <w:p w14:paraId="1DD57DC9" w14:textId="77777777" w:rsidR="00AB6152" w:rsidRDefault="00AB6152">
            <w:pPr>
              <w:jc w:val="center"/>
              <w:rPr>
                <w:rFonts w:ascii="Times New Roman" w:hAnsi="Times New Roman"/>
                <w:b/>
                <w:bCs/>
                <w:szCs w:val="28"/>
                <w:lang w:val="en-US"/>
              </w:rPr>
            </w:pPr>
          </w:p>
          <w:p w14:paraId="224754E6" w14:textId="77777777" w:rsidR="00AB6152" w:rsidRPr="00D350B7" w:rsidRDefault="00AB6152">
            <w:pPr>
              <w:jc w:val="center"/>
              <w:rPr>
                <w:rFonts w:ascii="Times New Roman" w:hAnsi="Times New Roman"/>
                <w:b/>
                <w:bCs/>
                <w:sz w:val="6"/>
                <w:szCs w:val="10"/>
                <w:lang w:val="en-US"/>
              </w:rPr>
            </w:pPr>
          </w:p>
          <w:p w14:paraId="2590BCF8" w14:textId="77777777" w:rsidR="00AB6152" w:rsidRDefault="00AB6152">
            <w:pPr>
              <w:jc w:val="center"/>
              <w:rPr>
                <w:rFonts w:ascii="Times New Roman" w:hAnsi="Times New Roman"/>
                <w:b/>
                <w:bCs/>
                <w:szCs w:val="28"/>
                <w:lang w:val="en-US"/>
              </w:rPr>
            </w:pPr>
          </w:p>
          <w:p w14:paraId="3CAE3F86" w14:textId="77777777" w:rsidR="00AB6152" w:rsidRDefault="00AB6152">
            <w:pPr>
              <w:jc w:val="center"/>
              <w:rPr>
                <w:rFonts w:ascii="Times New Roman" w:hAnsi="Times New Roman"/>
                <w:b/>
                <w:bCs/>
                <w:szCs w:val="28"/>
              </w:rPr>
            </w:pPr>
          </w:p>
          <w:p w14:paraId="03C7D1D3" w14:textId="77777777" w:rsidR="00AB6152" w:rsidRDefault="00AB6152">
            <w:pPr>
              <w:jc w:val="center"/>
              <w:rPr>
                <w:rFonts w:ascii="Times New Roman" w:hAnsi="Times New Roman"/>
                <w:b/>
                <w:bCs/>
                <w:szCs w:val="28"/>
              </w:rPr>
            </w:pPr>
          </w:p>
          <w:p w14:paraId="23C92C79" w14:textId="77777777" w:rsidR="00AB6152" w:rsidRPr="00565643" w:rsidRDefault="00CE0510">
            <w:pPr>
              <w:jc w:val="center"/>
              <w:rPr>
                <w:rFonts w:ascii="Times New Roman" w:hAnsi="Times New Roman"/>
                <w:b/>
                <w:bCs/>
                <w:sz w:val="28"/>
                <w:szCs w:val="28"/>
              </w:rPr>
            </w:pPr>
            <w:r w:rsidRPr="00565643">
              <w:rPr>
                <w:rFonts w:ascii="Times New Roman" w:hAnsi="Times New Roman"/>
                <w:b/>
                <w:bCs/>
                <w:sz w:val="28"/>
                <w:szCs w:val="28"/>
              </w:rPr>
              <w:t>Bùi Đức Hinh</w:t>
            </w:r>
          </w:p>
          <w:p w14:paraId="77BBE6DC" w14:textId="77777777" w:rsidR="00AB6152" w:rsidRDefault="00AB6152">
            <w:pPr>
              <w:rPr>
                <w:rFonts w:ascii="Times New Roman" w:hAnsi="Times New Roman"/>
                <w:b/>
              </w:rPr>
            </w:pPr>
          </w:p>
          <w:p w14:paraId="7E947C01" w14:textId="77777777" w:rsidR="00AB6152" w:rsidRDefault="00AB6152">
            <w:pPr>
              <w:rPr>
                <w:rFonts w:ascii="Times New Roman" w:hAnsi="Times New Roman"/>
                <w:b/>
              </w:rPr>
            </w:pPr>
          </w:p>
          <w:p w14:paraId="21663CC2" w14:textId="77777777" w:rsidR="00AB6152" w:rsidRDefault="00AB6152">
            <w:pPr>
              <w:rPr>
                <w:rFonts w:ascii="Times New Roman" w:hAnsi="Times New Roman"/>
                <w:b/>
              </w:rPr>
            </w:pPr>
          </w:p>
          <w:p w14:paraId="6A35A4D5" w14:textId="77777777" w:rsidR="00AB6152" w:rsidRDefault="00AB6152">
            <w:pPr>
              <w:jc w:val="center"/>
              <w:rPr>
                <w:rFonts w:ascii="Times New Roman" w:hAnsi="Times New Roman"/>
                <w:b/>
                <w:bCs/>
                <w:i/>
                <w:iCs/>
                <w:sz w:val="22"/>
              </w:rPr>
            </w:pPr>
          </w:p>
        </w:tc>
      </w:tr>
    </w:tbl>
    <w:p w14:paraId="7D0185E5" w14:textId="77777777" w:rsidR="00AB6152" w:rsidRPr="00764B00" w:rsidRDefault="00AB6152">
      <w:pPr>
        <w:rPr>
          <w:sz w:val="8"/>
          <w:szCs w:val="8"/>
        </w:rPr>
      </w:pPr>
    </w:p>
    <w:sectPr w:rsidR="00AB6152" w:rsidRPr="00764B00" w:rsidSect="000A2B55">
      <w:headerReference w:type="even" r:id="rId8"/>
      <w:headerReference w:type="default" r:id="rId9"/>
      <w:footerReference w:type="even" r:id="rId10"/>
      <w:footerReference w:type="default" r:id="rId11"/>
      <w:headerReference w:type="first" r:id="rId12"/>
      <w:footerReference w:type="first" r:id="rId13"/>
      <w:footnotePr>
        <w:numFmt w:val="upperRoman"/>
      </w:footnotePr>
      <w:pgSz w:w="11900" w:h="16840" w:code="9"/>
      <w:pgMar w:top="1021" w:right="1021" w:bottom="1021" w:left="1588" w:header="0" w:footer="6" w:gutter="0"/>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F08A0" w14:textId="77777777" w:rsidR="00800A8E" w:rsidRDefault="00800A8E">
      <w:r>
        <w:separator/>
      </w:r>
    </w:p>
  </w:endnote>
  <w:endnote w:type="continuationSeparator" w:id="0">
    <w:p w14:paraId="524596A7" w14:textId="77777777" w:rsidR="00800A8E" w:rsidRDefault="0080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8911" w14:textId="77777777" w:rsidR="000A2B55" w:rsidRDefault="000A2B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A5A7" w14:textId="77777777" w:rsidR="000A2B55" w:rsidRDefault="000A2B5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DD536" w14:textId="77777777" w:rsidR="000A2B55" w:rsidRDefault="000A2B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42759" w14:textId="77777777" w:rsidR="00800A8E" w:rsidRDefault="00800A8E">
      <w:r>
        <w:separator/>
      </w:r>
    </w:p>
  </w:footnote>
  <w:footnote w:type="continuationSeparator" w:id="0">
    <w:p w14:paraId="12FCB299" w14:textId="77777777" w:rsidR="00800A8E" w:rsidRDefault="00800A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DD36" w14:textId="77777777" w:rsidR="00AB6152" w:rsidRDefault="00AB6152">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07010"/>
      <w:docPartObj>
        <w:docPartGallery w:val="Page Numbers (Top of Page)"/>
        <w:docPartUnique/>
      </w:docPartObj>
    </w:sdtPr>
    <w:sdtEndPr>
      <w:rPr>
        <w:rFonts w:ascii="Times New Roman" w:hAnsi="Times New Roman" w:cs="Times New Roman"/>
        <w:noProof/>
        <w:sz w:val="28"/>
        <w:szCs w:val="28"/>
      </w:rPr>
    </w:sdtEndPr>
    <w:sdtContent>
      <w:p w14:paraId="59AD3773" w14:textId="77777777" w:rsidR="00DF1725" w:rsidRDefault="00DF1725">
        <w:pPr>
          <w:pStyle w:val="Header"/>
          <w:jc w:val="center"/>
        </w:pPr>
      </w:p>
      <w:p w14:paraId="33B543FB" w14:textId="37AD7FC1" w:rsidR="00DF1725" w:rsidRPr="00DF1725" w:rsidRDefault="00DF1725">
        <w:pPr>
          <w:pStyle w:val="Header"/>
          <w:jc w:val="center"/>
          <w:rPr>
            <w:rFonts w:ascii="Times New Roman" w:hAnsi="Times New Roman" w:cs="Times New Roman"/>
            <w:sz w:val="28"/>
            <w:szCs w:val="28"/>
          </w:rPr>
        </w:pPr>
        <w:r w:rsidRPr="00DF1725">
          <w:rPr>
            <w:rFonts w:ascii="Times New Roman" w:hAnsi="Times New Roman" w:cs="Times New Roman"/>
          </w:rPr>
          <w:fldChar w:fldCharType="begin"/>
        </w:r>
        <w:r w:rsidRPr="00DF1725">
          <w:rPr>
            <w:rFonts w:ascii="Times New Roman" w:hAnsi="Times New Roman" w:cs="Times New Roman"/>
          </w:rPr>
          <w:instrText xml:space="preserve"> PAGE   \* MERGEFORMAT </w:instrText>
        </w:r>
        <w:r w:rsidRPr="00DF1725">
          <w:rPr>
            <w:rFonts w:ascii="Times New Roman" w:hAnsi="Times New Roman" w:cs="Times New Roman"/>
          </w:rPr>
          <w:fldChar w:fldCharType="separate"/>
        </w:r>
        <w:r w:rsidR="00AD19F6">
          <w:rPr>
            <w:rFonts w:ascii="Times New Roman" w:hAnsi="Times New Roman" w:cs="Times New Roman"/>
            <w:noProof/>
          </w:rPr>
          <w:t>2</w:t>
        </w:r>
        <w:r w:rsidRPr="00DF1725">
          <w:rPr>
            <w:rFonts w:ascii="Times New Roman" w:hAnsi="Times New Roman" w:cs="Times New Roman"/>
            <w:noProof/>
          </w:rPr>
          <w:fldChar w:fldCharType="end"/>
        </w:r>
      </w:p>
    </w:sdtContent>
  </w:sdt>
  <w:p w14:paraId="4659B801" w14:textId="77777777" w:rsidR="00AB6152" w:rsidRDefault="00AB6152">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C8BEF" w14:textId="77777777" w:rsidR="000A2B55" w:rsidRDefault="000A2B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B7CB4"/>
    <w:multiLevelType w:val="multilevel"/>
    <w:tmpl w:val="98687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F63106"/>
    <w:multiLevelType w:val="multilevel"/>
    <w:tmpl w:val="EF3C89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52"/>
    <w:rsid w:val="000A2B55"/>
    <w:rsid w:val="002B220D"/>
    <w:rsid w:val="00355696"/>
    <w:rsid w:val="003620C5"/>
    <w:rsid w:val="003B7B5C"/>
    <w:rsid w:val="00565643"/>
    <w:rsid w:val="00731DD2"/>
    <w:rsid w:val="00764B00"/>
    <w:rsid w:val="00773BC3"/>
    <w:rsid w:val="00800A8E"/>
    <w:rsid w:val="0093435D"/>
    <w:rsid w:val="00AB6152"/>
    <w:rsid w:val="00AD19F6"/>
    <w:rsid w:val="00B57CC1"/>
    <w:rsid w:val="00B9338D"/>
    <w:rsid w:val="00C35D25"/>
    <w:rsid w:val="00C4225C"/>
    <w:rsid w:val="00C53E1D"/>
    <w:rsid w:val="00CE0510"/>
    <w:rsid w:val="00CF2539"/>
    <w:rsid w:val="00D350B7"/>
    <w:rsid w:val="00D50D33"/>
    <w:rsid w:val="00D871A4"/>
    <w:rsid w:val="00DF1725"/>
    <w:rsid w:val="00EF38A9"/>
    <w:rsid w:val="00FD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C4CC4"/>
  <w15:chartTrackingRefBased/>
  <w15:docId w15:val="{22D33842-8AE1-4604-9803-8F84677B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after="0" w:line="240" w:lineRule="auto"/>
    </w:pPr>
    <w:rPr>
      <w:rFonts w:ascii="Arial Unicode MS" w:eastAsia="Arial Unicode MS" w:hAnsi="Arial Unicode MS" w:cs="Arial Unicode MS"/>
      <w:color w:val="000000"/>
      <w:kern w:val="0"/>
      <w:lang w:val="vi-VN" w:eastAsia="vi-VN" w:bidi="vi-VN"/>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Vnbnnidung">
    <w:name w:val="Văn bản nội dung_"/>
    <w:basedOn w:val="DefaultParagraphFont"/>
    <w:link w:val="Vnbnnidung0"/>
    <w:rPr>
      <w:rFonts w:eastAsia="Times New Roman" w:cs="Times New Roman"/>
      <w:sz w:val="28"/>
      <w:szCs w:val="28"/>
    </w:rPr>
  </w:style>
  <w:style w:type="character" w:customStyle="1" w:styleId="Vnbnnidung2">
    <w:name w:val="Văn bản nội dung (2)_"/>
    <w:basedOn w:val="DefaultParagraphFont"/>
    <w:link w:val="Vnbnnidung20"/>
    <w:rPr>
      <w:rFonts w:eastAsia="Times New Roman" w:cs="Times New Roman"/>
      <w:sz w:val="22"/>
      <w:szCs w:val="22"/>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color w:val="auto"/>
      <w:kern w:val="2"/>
      <w:sz w:val="28"/>
      <w:szCs w:val="28"/>
      <w:lang w:val="en-US" w:eastAsia="en-US" w:bidi="ar-SA"/>
      <w14:ligatures w14:val="standardContextual"/>
    </w:rPr>
  </w:style>
  <w:style w:type="paragraph" w:customStyle="1" w:styleId="Vnbnnidung20">
    <w:name w:val="Văn bản nội dung (2)"/>
    <w:basedOn w:val="Normal"/>
    <w:link w:val="Vnbnnidung2"/>
    <w:rPr>
      <w:rFonts w:ascii="Times New Roman" w:eastAsia="Times New Roman" w:hAnsi="Times New Roman" w:cs="Times New Roman"/>
      <w:color w:val="auto"/>
      <w:kern w:val="2"/>
      <w:sz w:val="22"/>
      <w:szCs w:val="22"/>
      <w:lang w:val="en-US" w:eastAsia="en-US" w:bidi="ar-SA"/>
      <w14:ligatures w14:val="standardContextual"/>
    </w:rPr>
  </w:style>
  <w:style w:type="table" w:styleId="TableGrid">
    <w:name w:val="Table Grid"/>
    <w:basedOn w:val="TableNormal"/>
    <w:uiPriority w:val="39"/>
    <w:pPr>
      <w:widowControl w:val="0"/>
      <w:spacing w:after="0" w:line="240" w:lineRule="auto"/>
    </w:pPr>
    <w:rPr>
      <w:rFonts w:ascii="Arial Unicode MS" w:eastAsia="Arial Unicode MS" w:hAnsi="Arial Unicode MS" w:cs="Arial Unicode MS"/>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Arial Unicode MS" w:hAnsi="Segoe UI" w:cs="Segoe UI"/>
      <w:color w:val="000000"/>
      <w:kern w:val="0"/>
      <w:sz w:val="18"/>
      <w:szCs w:val="18"/>
      <w:lang w:val="vi-VN" w:eastAsia="vi-VN" w:bidi="vi-VN"/>
      <w14:ligatures w14:val="none"/>
    </w:rPr>
  </w:style>
  <w:style w:type="paragraph" w:styleId="Footer">
    <w:name w:val="footer"/>
    <w:basedOn w:val="Normal"/>
    <w:link w:val="FooterChar"/>
    <w:uiPriority w:val="99"/>
    <w:unhideWhenUsed/>
    <w:rsid w:val="00DF1725"/>
    <w:pPr>
      <w:tabs>
        <w:tab w:val="center" w:pos="4680"/>
        <w:tab w:val="right" w:pos="9360"/>
      </w:tabs>
    </w:pPr>
  </w:style>
  <w:style w:type="character" w:customStyle="1" w:styleId="FooterChar">
    <w:name w:val="Footer Char"/>
    <w:basedOn w:val="DefaultParagraphFont"/>
    <w:link w:val="Footer"/>
    <w:uiPriority w:val="99"/>
    <w:rsid w:val="00DF1725"/>
    <w:rPr>
      <w:rFonts w:ascii="Arial Unicode MS" w:eastAsia="Arial Unicode MS" w:hAnsi="Arial Unicode MS" w:cs="Arial Unicode MS"/>
      <w:color w:val="000000"/>
      <w:kern w:val="0"/>
      <w:lang w:val="vi-VN" w:eastAsia="vi-VN" w:bidi="vi-VN"/>
      <w14:ligatures w14:val="none"/>
    </w:rPr>
  </w:style>
  <w:style w:type="paragraph" w:styleId="Header">
    <w:name w:val="header"/>
    <w:basedOn w:val="Normal"/>
    <w:link w:val="HeaderChar"/>
    <w:uiPriority w:val="99"/>
    <w:unhideWhenUsed/>
    <w:rsid w:val="00DF1725"/>
    <w:pPr>
      <w:tabs>
        <w:tab w:val="center" w:pos="4680"/>
        <w:tab w:val="right" w:pos="9360"/>
      </w:tabs>
    </w:pPr>
  </w:style>
  <w:style w:type="character" w:customStyle="1" w:styleId="HeaderChar">
    <w:name w:val="Header Char"/>
    <w:basedOn w:val="DefaultParagraphFont"/>
    <w:link w:val="Header"/>
    <w:uiPriority w:val="99"/>
    <w:rsid w:val="00DF1725"/>
    <w:rPr>
      <w:rFonts w:ascii="Arial Unicode MS" w:eastAsia="Arial Unicode MS" w:hAnsi="Arial Unicode MS" w:cs="Arial Unicode MS"/>
      <w:color w:val="000000"/>
      <w:kern w:val="0"/>
      <w:lang w:val="vi-VN" w:eastAsia="vi-VN"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B62F8-3EB9-4890-8E9C-A65A62224BD3}">
  <ds:schemaRefs>
    <ds:schemaRef ds:uri="http://schemas.openxmlformats.org/officeDocument/2006/bibliography"/>
  </ds:schemaRefs>
</ds:datastoreItem>
</file>

<file path=customXml/itemProps2.xml><?xml version="1.0" encoding="utf-8"?>
<ds:datastoreItem xmlns:ds="http://schemas.openxmlformats.org/officeDocument/2006/customXml" ds:itemID="{12AD4398-9FB4-4692-8763-1E40206156CC}"/>
</file>

<file path=customXml/itemProps3.xml><?xml version="1.0" encoding="utf-8"?>
<ds:datastoreItem xmlns:ds="http://schemas.openxmlformats.org/officeDocument/2006/customXml" ds:itemID="{B1060F26-02B0-42FD-A659-A72B22CE13CB}"/>
</file>

<file path=customXml/itemProps4.xml><?xml version="1.0" encoding="utf-8"?>
<ds:datastoreItem xmlns:ds="http://schemas.openxmlformats.org/officeDocument/2006/customXml" ds:itemID="{994F36F9-BADE-4F1A-B697-FF614C6685F5}"/>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2025-12-17T06:44:00Z</cp:lastPrinted>
  <dcterms:created xsi:type="dcterms:W3CDTF">2025-12-23T07:15:00Z</dcterms:created>
  <dcterms:modified xsi:type="dcterms:W3CDTF">2025-12-23T07:15:00Z</dcterms:modified>
</cp:coreProperties>
</file>